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288"/>
      </w:pPr>
      <w:r>
        <w:rPr>
          <w:i/>
          <w:color w:val="7C5316"/>
        </w:rPr>
        <w:t>**FIRST DRAFT — PENDING COUNSEL RATIFICATION**</w:t>
      </w:r>
    </w:p>
    <w:p>
      <w:r>
        <w:t>&gt;</w:t>
      </w:r>
    </w:p>
    <w:p>
      <w:pPr>
        <w:ind w:left="288"/>
      </w:pPr>
      <w:r>
        <w:rPr>
          <w:i/>
          <w:color w:val="7C5316"/>
        </w:rPr>
        <w:t>This document is a first draft prepared for outside counsel review.</w:t>
      </w:r>
    </w:p>
    <w:p>
      <w:pPr>
        <w:ind w:left="288"/>
      </w:pPr>
      <w:r>
        <w:rPr>
          <w:i/>
          <w:color w:val="7C5316"/>
        </w:rPr>
        <w:t>It uses accepted standard language for its type and is intended to</w:t>
      </w:r>
    </w:p>
    <w:p>
      <w:pPr>
        <w:ind w:left="288"/>
      </w:pPr>
      <w:r>
        <w:rPr>
          <w:i/>
          <w:color w:val="7C5316"/>
        </w:rPr>
        <w:t>be published in this form after ratification. Until counsel signs</w:t>
      </w:r>
    </w:p>
    <w:p>
      <w:pPr>
        <w:ind w:left="288"/>
      </w:pPr>
      <w:r>
        <w:rPr>
          <w:i/>
          <w:color w:val="7C5316"/>
        </w:rPr>
        <w:t>off, treat any specific figure, warranty, or jurisdictional choice</w:t>
      </w:r>
    </w:p>
    <w:p>
      <w:pPr>
        <w:ind w:left="288"/>
      </w:pPr>
      <w:r>
        <w:rPr>
          <w:i/>
          <w:color w:val="7C5316"/>
        </w:rPr>
        <w:t>as tentative.</w:t>
      </w:r>
    </w:p>
    <w:p>
      <w:r>
        <w:t>&gt;</w:t>
      </w:r>
    </w:p>
    <w:p>
      <w:pPr>
        <w:ind w:left="288"/>
      </w:pPr>
      <w:r>
        <w:rPr>
          <w:i/>
          <w:color w:val="7C5316"/>
        </w:rPr>
        <w:t>Version: February 2026 · Birthright Foundation (birthright.live) ·</w:t>
      </w:r>
    </w:p>
    <w:p>
      <w:pPr>
        <w:ind w:left="288"/>
      </w:pPr>
      <w:r>
        <w:rPr>
          <w:i/>
          <w:color w:val="7C5316"/>
        </w:rPr>
        <w:t>Executive Director: Amanda Reagan · Contact: legal@birthright.live</w:t>
      </w:r>
    </w:p>
    <w:p>
      <w:pPr>
        <w:pStyle w:val="Heading1"/>
      </w:pPr>
      <w:r>
        <w:t>Refund &amp; Returns Policy</w:t>
      </w:r>
    </w:p>
    <w:p>
      <w:r>
        <w:rPr>
          <w:b/>
        </w:rPr>
        <w:t>Effective date:</w:t>
      </w:r>
      <w:r>
        <w:t xml:space="preserve"> February 2026.</w:t>
      </w:r>
    </w:p>
    <w:p>
      <w:pPr>
        <w:pStyle w:val="Heading2"/>
      </w:pPr>
      <w:r>
        <w:t>1. Products (Physical Goods)</w:t>
      </w:r>
    </w:p>
    <w:p>
      <w:pPr>
        <w:pStyle w:val="ListBullet"/>
      </w:pPr>
      <w:r>
        <w:rPr>
          <w:b/>
        </w:rPr>
        <w:t>Made-to-order / print-on-demand</w:t>
      </w:r>
      <w:r>
        <w:t xml:space="preserve"> (most journals, apparel, mugs, patches): non-returnable except for </w:t>
      </w:r>
      <w:r>
        <w:rPr>
          <w:b/>
        </w:rPr>
        <w:t>defect or damage</w:t>
      </w:r>
      <w:r>
        <w:t>. Contact us within 14 days of delivery with photos and we will reprint or refund.</w:t>
      </w:r>
    </w:p>
    <w:p>
      <w:pPr>
        <w:pStyle w:val="ListBullet"/>
      </w:pPr>
      <w:r>
        <w:rPr>
          <w:b/>
        </w:rPr>
        <w:t>Stocked goods</w:t>
      </w:r>
      <w:r>
        <w:t>: 30-day return for any reason if unused and in original packaging. Buyer pays return shipping unless the return is due to our error.</w:t>
      </w:r>
    </w:p>
    <w:p>
      <w:pPr>
        <w:pStyle w:val="Heading2"/>
      </w:pPr>
      <w:r>
        <w:t>2. Workshops</w:t>
      </w:r>
    </w:p>
    <w:p>
      <w:pPr>
        <w:pStyle w:val="ListBullet"/>
      </w:pPr>
      <w:r>
        <w:rPr>
          <w:b/>
        </w:rPr>
        <w:t>≥ 7 days before start:</w:t>
      </w:r>
      <w:r>
        <w:t xml:space="preserve"> full refund or transfer to a later cohort.</w:t>
      </w:r>
    </w:p>
    <w:p>
      <w:pPr>
        <w:pStyle w:val="ListBullet"/>
      </w:pPr>
      <w:r>
        <w:rPr>
          <w:b/>
        </w:rPr>
        <w:t>&lt; 7 days before start:</w:t>
      </w:r>
      <w:r>
        <w:t xml:space="preserve"> 50% refund or full transfer.</w:t>
      </w:r>
    </w:p>
    <w:p>
      <w:pPr>
        <w:pStyle w:val="ListBullet"/>
      </w:pPr>
      <w:r>
        <w:rPr>
          <w:b/>
        </w:rPr>
        <w:t>After start:</w:t>
      </w:r>
      <w:r>
        <w:t xml:space="preserve"> no refund; transfer at our discretion.</w:t>
      </w:r>
    </w:p>
    <w:p>
      <w:pPr>
        <w:pStyle w:val="ListBullet"/>
      </w:pPr>
      <w:r>
        <w:t>Scholarship and access-tier seats are non-refundable but cancellable without penalty on ≥ 7 days notice.</w:t>
      </w:r>
    </w:p>
    <w:p>
      <w:pPr>
        <w:pStyle w:val="Heading2"/>
      </w:pPr>
      <w:r>
        <w:t>3. Subscriptions</w:t>
      </w:r>
    </w:p>
    <w:p>
      <w:r>
        <w:t>Cancel anytime from your dashboard. Cancellation is prospective; already-paid periods are non-refundable unless required by law.</w:t>
      </w:r>
    </w:p>
    <w:p>
      <w:pPr>
        <w:pStyle w:val="Heading2"/>
      </w:pPr>
      <w:r>
        <w:t>4. AI Wallet Credits</w:t>
      </w:r>
    </w:p>
    <w:p>
      <w:r>
        <w:t>Prepaid credits are non-refundable once consumed. Unused credits are refundable on request within 30 days of purchase.</w:t>
      </w:r>
    </w:p>
    <w:p>
      <w:pPr>
        <w:pStyle w:val="Heading2"/>
      </w:pPr>
      <w:r>
        <w:t>5. Sponsorships &amp; Donations</w:t>
      </w:r>
    </w:p>
    <w:p>
      <w:r>
        <w:t>Sponsorship payments are non-refundable except where a campaign is cancelled by Birthright before start (in which case unspent Sponsor funds are refunded). Donations are non-refundable except for manifest error.</w:t>
      </w:r>
    </w:p>
    <w:p>
      <w:pPr>
        <w:pStyle w:val="Heading2"/>
      </w:pPr>
      <w:r>
        <w:t>6. EU / UK Consumers</w:t>
      </w:r>
    </w:p>
    <w:p>
      <w:r>
        <w:t>The 14-day right of withdrawal applies to distance sales of goods and most digital services, subject to the exceptions in Article 16 of the EU Consumer Rights Directive.</w:t>
      </w:r>
    </w:p>
    <w:p>
      <w:pPr>
        <w:pStyle w:val="Heading2"/>
      </w:pPr>
      <w:r>
        <w:t>7. How to Request</w:t>
      </w:r>
    </w:p>
    <w:p>
      <w:r>
        <w:t>Email support@birthright.live with your order number. We aim to process refunds within 5 business days of approval.</w:t>
      </w:r>
    </w:p>
    <w:p/>
    <w:p>
      <w:r>
        <w:t>*First draft — pending counsel ratification. Comments to legal@birthright.live.*</w:t>
      </w:r>
    </w:p>
    <w:p/>
    <w:p>
      <w:pPr>
        <w:pStyle w:val="Heading2"/>
      </w:pPr>
      <w:r>
        <w:t>EU / UK Compliance Addendum</w:t>
      </w:r>
    </w:p>
    <w:p>
      <w:r>
        <w:t>Where an EU or UK resident's mandatory local rights conflict with this document, the local rules prevail. Key points:</w:t>
      </w:r>
    </w:p>
    <w:p>
      <w:pPr>
        <w:pStyle w:val="ListBullet"/>
      </w:pPr>
      <w:r>
        <w:rPr>
          <w:b/>
        </w:rPr>
        <w:t>GDPR (EU) 2016/679</w:t>
      </w:r>
      <w:r>
        <w:t xml:space="preserve"> and </w:t>
      </w:r>
      <w:r>
        <w:rPr>
          <w:b/>
        </w:rPr>
        <w:t>UK GDPR</w:t>
      </w:r>
      <w:r>
        <w:t xml:space="preserve"> govern personal-data processing. Lawful bases: contract necessity, legitimate interests (with opt-out), consent (marketing / non-essential cookies), and legal obligation.</w:t>
      </w:r>
    </w:p>
    <w:p>
      <w:pPr>
        <w:pStyle w:val="ListBullet"/>
      </w:pPr>
      <w:r>
        <w:rPr>
          <w:b/>
        </w:rPr>
        <w:t>ePrivacy Directive (2002/58/EC)</w:t>
      </w:r>
      <w:r>
        <w:t xml:space="preserve"> — non-essential cookies require prior opt-in consent (see our Cookie Notice).</w:t>
      </w:r>
    </w:p>
    <w:p>
      <w:pPr>
        <w:pStyle w:val="ListBullet"/>
      </w:pPr>
      <w:r>
        <w:rPr>
          <w:b/>
        </w:rPr>
        <w:t>Consumer Rights Directive (2011/83/EU)</w:t>
      </w:r>
      <w:r>
        <w:t xml:space="preserve"> — 14-day right of withdrawal on distance sales of goods and most digital services. Fully-performed digital content with prior consent may lose that right.</w:t>
      </w:r>
    </w:p>
    <w:p>
      <w:pPr>
        <w:pStyle w:val="ListBullet"/>
      </w:pPr>
      <w:r>
        <w:rPr>
          <w:b/>
        </w:rPr>
        <w:t>Digital Services Act (Reg. 2022/2065)</w:t>
      </w:r>
      <w:r>
        <w:t xml:space="preserve"> — community features (posts, DMs, disputes) fall in scope. Single point of contact: eu-contact@birthright.live.</w:t>
      </w:r>
    </w:p>
    <w:p>
      <w:pPr>
        <w:pStyle w:val="ListBullet"/>
      </w:pPr>
      <w:r>
        <w:rPr>
          <w:b/>
        </w:rPr>
        <w:t>Cross-border transfers</w:t>
      </w:r>
      <w:r>
        <w:t xml:space="preserve"> — EU SCCs (2021/914) + UK IDTA with a transfer-impact assessment per sub-processor.</w:t>
      </w:r>
    </w:p>
    <w:p>
      <w:pPr>
        <w:pStyle w:val="ListBullet"/>
      </w:pPr>
      <w:r>
        <w:rPr>
          <w:b/>
        </w:rPr>
        <w:t>DSAR window</w:t>
      </w:r>
      <w:r>
        <w:t xml:space="preserve"> — 30 days (extendable to 90) at privacy@birthright.live.</w:t>
      </w:r>
    </w:p>
    <w:p>
      <w:pPr>
        <w:pStyle w:val="ListBullet"/>
      </w:pPr>
      <w:r>
        <w:rPr>
          <w:b/>
        </w:rPr>
        <w:t>Supervisory authority</w:t>
      </w:r>
      <w:r>
        <w:t xml:space="preserve"> — EU: your national DPA (</w:t>
      </w:r>
      <w:hyperlink r:id="rId9">
        <w:r>
          <w:rPr>
            <w:color w:val="0563C1"/>
            <w:u w:val="single"/>
          </w:rPr>
          <w:t xml:space="preserve">https://edpb.europa.eu</w:t>
        </w:r>
      </w:hyperlink>
      <w:r>
        <w:t>). UK: ICO (</w:t>
      </w:r>
      <w:hyperlink r:id="rId10">
        <w:r>
          <w:rPr>
            <w:color w:val="0563C1"/>
            <w:u w:val="single"/>
          </w:rPr>
          <w:t xml:space="preserve">https://ico.org.uk</w:t>
        </w:r>
      </w:hyperlink>
      <w:r>
        <w:t>).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dpb.europa.eu" TargetMode="External"/><Relationship Id="rId10" Type="http://schemas.openxmlformats.org/officeDocument/2006/relationships/hyperlink" Target="https://ico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