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ind w:left="288"/>
      </w:pPr>
      <w:r>
        <w:rPr>
          <w:i/>
          <w:color w:val="7C5316"/>
        </w:rPr>
        <w:t>**FIRST DRAFT — PENDING COUNSEL RATIFICATION**</w:t>
      </w:r>
    </w:p>
    <w:p>
      <w:r>
        <w:t>&gt;</w:t>
      </w:r>
    </w:p>
    <w:p>
      <w:pPr>
        <w:ind w:left="288"/>
      </w:pPr>
      <w:r>
        <w:rPr>
          <w:i/>
          <w:color w:val="7C5316"/>
        </w:rPr>
        <w:t>This document is a first draft prepared for outside counsel review.</w:t>
      </w:r>
    </w:p>
    <w:p>
      <w:pPr>
        <w:ind w:left="288"/>
      </w:pPr>
      <w:r>
        <w:rPr>
          <w:i/>
          <w:color w:val="7C5316"/>
        </w:rPr>
        <w:t>It uses accepted standard language for its type and is intended to</w:t>
      </w:r>
    </w:p>
    <w:p>
      <w:pPr>
        <w:ind w:left="288"/>
      </w:pPr>
      <w:r>
        <w:rPr>
          <w:i/>
          <w:color w:val="7C5316"/>
        </w:rPr>
        <w:t>be published in this form after ratification. Until counsel signs</w:t>
      </w:r>
    </w:p>
    <w:p>
      <w:pPr>
        <w:ind w:left="288"/>
      </w:pPr>
      <w:r>
        <w:rPr>
          <w:i/>
          <w:color w:val="7C5316"/>
        </w:rPr>
        <w:t>off, treat any specific figure, warranty, or jurisdictional choice</w:t>
      </w:r>
    </w:p>
    <w:p>
      <w:pPr>
        <w:ind w:left="288"/>
      </w:pPr>
      <w:r>
        <w:rPr>
          <w:i/>
          <w:color w:val="7C5316"/>
        </w:rPr>
        <w:t>as tentative.</w:t>
      </w:r>
    </w:p>
    <w:p>
      <w:r>
        <w:t>&gt;</w:t>
      </w:r>
    </w:p>
    <w:p>
      <w:pPr>
        <w:ind w:left="288"/>
      </w:pPr>
      <w:r>
        <w:rPr>
          <w:i/>
          <w:color w:val="7C5316"/>
        </w:rPr>
        <w:t>Version: February 2026 · Birthright Foundation (birthright.live) ·</w:t>
      </w:r>
    </w:p>
    <w:p>
      <w:pPr>
        <w:ind w:left="288"/>
      </w:pPr>
      <w:r>
        <w:rPr>
          <w:i/>
          <w:color w:val="7C5316"/>
        </w:rPr>
        <w:t>Executive Director: Amanda Reagan · Contact: legal@birthright.live</w:t>
      </w:r>
    </w:p>
    <w:p>
      <w:pPr>
        <w:pStyle w:val="Heading1"/>
      </w:pPr>
      <w:r>
        <w:t>Sliding-Scale &amp; Scholarship Terms</w:t>
      </w:r>
    </w:p>
    <w:p>
      <w:r>
        <w:rPr>
          <w:b/>
        </w:rPr>
        <w:t>Effective date:</w:t>
      </w:r>
      <w:r>
        <w:t xml:space="preserve"> February 2026.</w:t>
      </w:r>
    </w:p>
    <w:p>
      <w:r>
        <w:t>Birthright wants the work to be accessible. This page explains how sliding-scale pricing and scholarships work.</w:t>
      </w:r>
    </w:p>
    <w:p>
      <w:pPr>
        <w:pStyle w:val="Heading2"/>
      </w:pPr>
      <w:r>
        <w:t>1. Who It's For</w:t>
      </w:r>
    </w:p>
    <w:p>
      <w:r>
        <w:t>Anyone whose participation would be significantly limited by full price. We do not means-test; we trust you to self-assess.</w:t>
      </w:r>
    </w:p>
    <w:p>
      <w:pPr>
        <w:pStyle w:val="Heading2"/>
      </w:pPr>
      <w:r>
        <w:t>2. Sliding-Scale Tiers</w:t>
      </w:r>
    </w:p>
    <w:p>
      <w:r>
        <w:t>Where a workshop offers sliding scale, three prices appear at checkout:</w:t>
      </w:r>
    </w:p>
    <w:p>
      <w:pPr>
        <w:pStyle w:val="ListBullet"/>
      </w:pPr>
      <w:r>
        <w:rPr>
          <w:b/>
        </w:rPr>
        <w:t>Full price</w:t>
      </w:r>
      <w:r>
        <w:t xml:space="preserve"> — the number that keeps the work funded.</w:t>
      </w:r>
    </w:p>
    <w:p>
      <w:pPr>
        <w:pStyle w:val="ListBullet"/>
      </w:pPr>
      <w:r>
        <w:rPr>
          <w:b/>
        </w:rPr>
        <w:t>Community price</w:t>
      </w:r>
      <w:r>
        <w:t xml:space="preserve"> — a partial subsidy, appropriate if full price is a stretch but doable.</w:t>
      </w:r>
    </w:p>
    <w:p>
      <w:pPr>
        <w:pStyle w:val="ListBullet"/>
      </w:pPr>
      <w:r>
        <w:rPr>
          <w:b/>
        </w:rPr>
        <w:t>Access price</w:t>
      </w:r>
      <w:r>
        <w:t xml:space="preserve"> — a deep subsidy, appropriate if full price would prevent you from attending.</w:t>
      </w:r>
    </w:p>
    <w:p>
      <w:pPr>
        <w:pStyle w:val="Heading2"/>
      </w:pPr>
      <w:r>
        <w:t>3. Scholarships</w:t>
      </w:r>
    </w:p>
    <w:p>
      <w:r>
        <w:t>For high-need cases, apply for a full scholarship at the workshop listing page. Approvals are based on available funds and the applicant's stated need. There is no essay.</w:t>
      </w:r>
    </w:p>
    <w:p>
      <w:pPr>
        <w:pStyle w:val="Heading2"/>
      </w:pPr>
      <w:r>
        <w:t>4. Ethics</w:t>
      </w:r>
    </w:p>
    <w:p>
      <w:r>
        <w:t>Please choose honestly. Every access-price seat is funded by a full-price seat. If your situation improves, we welcome you to move up a tier next time.</w:t>
      </w:r>
    </w:p>
    <w:p>
      <w:pPr>
        <w:pStyle w:val="Heading2"/>
      </w:pPr>
      <w:r>
        <w:t>5. Refunds</w:t>
      </w:r>
    </w:p>
    <w:p>
      <w:r>
        <w:t>Sliding-scale purchases follow the standard [Refund &amp; Returns Policy](/legal/refunds). Scholarship seats are non-transferable and non-refundable but may be forfeited without penalty if you cannot attend and notify us at least 7 days in advance.</w:t>
      </w:r>
    </w:p>
    <w:p>
      <w:pPr>
        <w:pStyle w:val="Heading2"/>
      </w:pPr>
      <w:r>
        <w:t>6. Contact</w:t>
      </w:r>
    </w:p>
    <w:p>
      <w:r>
        <w:t>scholarships@birthright.live.</w:t>
      </w:r>
    </w:p>
    <w:p/>
    <w:p>
      <w:r>
        <w:t>*First draft — pending counsel ratification. Comments to legal@birthright.live.*</w:t>
      </w:r>
    </w:p>
    <w:p/>
    <w:p>
      <w:pPr>
        <w:pStyle w:val="Heading2"/>
      </w:pPr>
      <w:r>
        <w:t>EU / UK Compliance Addendum</w:t>
      </w:r>
    </w:p>
    <w:p>
      <w:r>
        <w:t>Where an EU or UK resident's mandatory local rights conflict with this document, the local rules prevail. Key points:</w:t>
      </w:r>
    </w:p>
    <w:p>
      <w:pPr>
        <w:pStyle w:val="ListBullet"/>
      </w:pPr>
      <w:r>
        <w:rPr>
          <w:b/>
        </w:rPr>
        <w:t>GDPR (EU) 2016/679</w:t>
      </w:r>
      <w:r>
        <w:t xml:space="preserve"> and </w:t>
      </w:r>
      <w:r>
        <w:rPr>
          <w:b/>
        </w:rPr>
        <w:t>UK GDPR</w:t>
      </w:r>
      <w:r>
        <w:t xml:space="preserve"> govern personal-data processing. Lawful bases: contract necessity, legitimate interests (with opt-out), consent (marketing / non-essential cookies), and legal obligation.</w:t>
      </w:r>
    </w:p>
    <w:p>
      <w:pPr>
        <w:pStyle w:val="ListBullet"/>
      </w:pPr>
      <w:r>
        <w:rPr>
          <w:b/>
        </w:rPr>
        <w:t>ePrivacy Directive (2002/58/EC)</w:t>
      </w:r>
      <w:r>
        <w:t xml:space="preserve"> — non-essential cookies require prior opt-in consent (see our Cookie Notice).</w:t>
      </w:r>
    </w:p>
    <w:p>
      <w:pPr>
        <w:pStyle w:val="ListBullet"/>
      </w:pPr>
      <w:r>
        <w:rPr>
          <w:b/>
        </w:rPr>
        <w:t>Consumer Rights Directive (2011/83/EU)</w:t>
      </w:r>
      <w:r>
        <w:t xml:space="preserve"> — 14-day right of withdrawal on distance sales of goods and most digital services. Fully-performed digital content with prior consent may lose that right.</w:t>
      </w:r>
    </w:p>
    <w:p>
      <w:pPr>
        <w:pStyle w:val="ListBullet"/>
      </w:pPr>
      <w:r>
        <w:rPr>
          <w:b/>
        </w:rPr>
        <w:t>Digital Services Act (Reg. 2022/2065)</w:t>
      </w:r>
      <w:r>
        <w:t xml:space="preserve"> — community features (posts, DMs, disputes) fall in scope. Single point of contact: eu-contact@birthright.live.</w:t>
      </w:r>
    </w:p>
    <w:p>
      <w:pPr>
        <w:pStyle w:val="ListBullet"/>
      </w:pPr>
      <w:r>
        <w:rPr>
          <w:b/>
        </w:rPr>
        <w:t>Cross-border transfers</w:t>
      </w:r>
      <w:r>
        <w:t xml:space="preserve"> — EU SCCs (2021/914) + UK IDTA with a transfer-impact assessment per sub-processor.</w:t>
      </w:r>
    </w:p>
    <w:p>
      <w:pPr>
        <w:pStyle w:val="ListBullet"/>
      </w:pPr>
      <w:r>
        <w:rPr>
          <w:b/>
        </w:rPr>
        <w:t>DSAR window</w:t>
      </w:r>
      <w:r>
        <w:t xml:space="preserve"> — 30 days (extendable to 90) at privacy@birthright.live.</w:t>
      </w:r>
    </w:p>
    <w:p>
      <w:pPr>
        <w:pStyle w:val="ListBullet"/>
      </w:pPr>
      <w:r>
        <w:rPr>
          <w:b/>
        </w:rPr>
        <w:t>Supervisory authority</w:t>
      </w:r>
      <w:r>
        <w:t xml:space="preserve"> — EU: your national DPA (</w:t>
      </w:r>
      <w:hyperlink r:id="rId9">
        <w:r>
          <w:rPr>
            <w:color w:val="0563C1"/>
            <w:u w:val="single"/>
          </w:rPr>
          <w:t xml:space="preserve">https://edpb.europa.eu</w:t>
        </w:r>
      </w:hyperlink>
      <w:r>
        <w:t>). UK: ICO (</w:t>
      </w:r>
      <w:hyperlink r:id="rId10">
        <w:r>
          <w:rPr>
            <w:color w:val="0563C1"/>
            <w:u w:val="single"/>
          </w:rPr>
          <w:t xml:space="preserve">https://ico.org.uk</w:t>
        </w:r>
      </w:hyperlink>
      <w:r>
        <w:t>).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40" w:lineRule="auto" w:before="0" w:after="120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dpb.europa.eu" TargetMode="External"/><Relationship Id="rId10" Type="http://schemas.openxmlformats.org/officeDocument/2006/relationships/hyperlink" Target="https://ico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