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288"/>
      </w:pPr>
      <w:r>
        <w:rPr>
          <w:i/>
          <w:color w:val="7C5316"/>
        </w:rPr>
        <w:t>**FIRST DRAFT — PENDING COUNSEL RATIFICATION**</w:t>
      </w:r>
    </w:p>
    <w:p>
      <w:r>
        <w:t>&gt;</w:t>
      </w:r>
    </w:p>
    <w:p>
      <w:pPr>
        <w:ind w:left="288"/>
      </w:pPr>
      <w:r>
        <w:rPr>
          <w:i/>
          <w:color w:val="7C5316"/>
        </w:rPr>
        <w:t>This document is a first draft prepared for outside counsel review.</w:t>
      </w:r>
    </w:p>
    <w:p>
      <w:pPr>
        <w:ind w:left="288"/>
      </w:pPr>
      <w:r>
        <w:rPr>
          <w:i/>
          <w:color w:val="7C5316"/>
        </w:rPr>
        <w:t>It uses accepted standard language for its type and is intended to</w:t>
      </w:r>
    </w:p>
    <w:p>
      <w:pPr>
        <w:ind w:left="288"/>
      </w:pPr>
      <w:r>
        <w:rPr>
          <w:i/>
          <w:color w:val="7C5316"/>
        </w:rPr>
        <w:t>be published in this form after ratification. Until counsel signs</w:t>
      </w:r>
    </w:p>
    <w:p>
      <w:pPr>
        <w:ind w:left="288"/>
      </w:pPr>
      <w:r>
        <w:rPr>
          <w:i/>
          <w:color w:val="7C5316"/>
        </w:rPr>
        <w:t>off, treat any specific figure, warranty, or jurisdictional choice</w:t>
      </w:r>
    </w:p>
    <w:p>
      <w:pPr>
        <w:ind w:left="288"/>
      </w:pPr>
      <w:r>
        <w:rPr>
          <w:i/>
          <w:color w:val="7C5316"/>
        </w:rPr>
        <w:t>as tentative.</w:t>
      </w:r>
    </w:p>
    <w:p>
      <w:r>
        <w:t>&gt;</w:t>
      </w:r>
    </w:p>
    <w:p>
      <w:pPr>
        <w:ind w:left="288"/>
      </w:pPr>
      <w:r>
        <w:rPr>
          <w:i/>
          <w:color w:val="7C5316"/>
        </w:rPr>
        <w:t>Version: February 2026 · Birthright Foundation (birthright.live) ·</w:t>
      </w:r>
    </w:p>
    <w:p>
      <w:pPr>
        <w:ind w:left="288"/>
      </w:pPr>
      <w:r>
        <w:rPr>
          <w:i/>
          <w:color w:val="7C5316"/>
        </w:rPr>
        <w:t>Executive Director: Amanda Reagan · Contact: legal@birthright.live</w:t>
      </w:r>
    </w:p>
    <w:p>
      <w:pPr>
        <w:pStyle w:val="Heading1"/>
      </w:pPr>
      <w:r>
        <w:t>Cookie &amp; Tracking Notice</w:t>
      </w:r>
    </w:p>
    <w:p>
      <w:r>
        <w:rPr>
          <w:b/>
        </w:rPr>
        <w:t>Effective date:</w:t>
      </w:r>
      <w:r>
        <w:t xml:space="preserve"> February 2026. This notice explains the cookies and similar technologies we use on birthright.live.</w:t>
      </w:r>
    </w:p>
    <w:p>
      <w:pPr>
        <w:pStyle w:val="Heading2"/>
      </w:pPr>
      <w:r>
        <w:t>1. Categories We Use</w:t>
      </w:r>
    </w:p>
    <w:p>
      <w:pPr>
        <w:pStyle w:val="ListBullet"/>
      </w:pPr>
      <w:r>
        <w:rPr>
          <w:b/>
        </w:rPr>
        <w:t>Strictly necessary</w:t>
      </w:r>
      <w:r>
        <w:t xml:space="preserve"> (always on) — sign-in session, shopping cart, CSRF protection, load balancing. Cannot be disabled without breaking the site.</w:t>
      </w:r>
    </w:p>
    <w:p>
      <w:pPr>
        <w:pStyle w:val="ListBullet"/>
      </w:pPr>
      <w:r>
        <w:rPr>
          <w:b/>
        </w:rPr>
        <w:t>Preferences</w:t>
      </w:r>
      <w:r>
        <w:t xml:space="preserve"> — remember your consent choices and locale.</w:t>
      </w:r>
    </w:p>
    <w:p>
      <w:pPr>
        <w:pStyle w:val="ListBullet"/>
      </w:pPr>
      <w:r>
        <w:rPr>
          <w:b/>
        </w:rPr>
        <w:t>Analytics</w:t>
      </w:r>
      <w:r>
        <w:t xml:space="preserve"> (only with your consent) — anonymised page-view and performance metrics so we can improve the site.</w:t>
      </w:r>
    </w:p>
    <w:p>
      <w:pPr>
        <w:pStyle w:val="ListBullet"/>
      </w:pPr>
      <w:r>
        <w:rPr>
          <w:b/>
        </w:rPr>
        <w:t>No advertising cookies.</w:t>
      </w:r>
      <w:r>
        <w:t xml:space="preserve"> We do not run behavioural ad networks.</w:t>
      </w:r>
    </w:p>
    <w:p>
      <w:pPr>
        <w:pStyle w:val="Heading2"/>
      </w:pPr>
      <w:r>
        <w:t>2. Your Controls</w:t>
      </w:r>
    </w:p>
    <w:p>
      <w:pPr>
        <w:pStyle w:val="ListBullet"/>
      </w:pPr>
      <w:r>
        <w:t xml:space="preserve">The consent banner on your first visit lets you accept all or reject non-essential cookies. You can change your choice any time via </w:t>
      </w:r>
      <w:r>
        <w:rPr>
          <w:b/>
        </w:rPr>
        <w:t>Cookie Settings</w:t>
      </w:r>
      <w:r>
        <w:t xml:space="preserve"> in the site footer.</w:t>
      </w:r>
    </w:p>
    <w:p>
      <w:pPr>
        <w:pStyle w:val="ListBullet"/>
      </w:pPr>
      <w:r>
        <w:t>Your browser lets you delete cookies or block them by site.</w:t>
      </w:r>
    </w:p>
    <w:p>
      <w:pPr>
        <w:pStyle w:val="ListBullet"/>
      </w:pPr>
      <w:r>
        <w:t>We honour Global Privacy Control (GPC) signals.</w:t>
      </w:r>
    </w:p>
    <w:p>
      <w:pPr>
        <w:pStyle w:val="Heading2"/>
      </w:pPr>
      <w:r>
        <w:t>3. Third-Party Providers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>
              <w:rPr>
                <w:b/>
              </w:rPr>
            </w:r>
            <w:r>
              <w:rPr>
                <w:b/>
              </w:rPr>
              <w:t>Purpose</w:t>
            </w:r>
          </w:p>
        </w:tc>
        <w:tc>
          <w:tcPr>
            <w:tcW w:type="dxa" w:w="3120"/>
          </w:tcPr>
          <w:p>
            <w:r>
              <w:rPr>
                <w:b/>
              </w:rPr>
            </w:r>
            <w:r>
              <w:rPr>
                <w:b/>
              </w:rPr>
              <w:t>Provider</w:t>
            </w:r>
          </w:p>
        </w:tc>
        <w:tc>
          <w:tcPr>
            <w:tcW w:type="dxa" w:w="3120"/>
          </w:tcPr>
          <w:p>
            <w:r>
              <w:rPr>
                <w:b/>
              </w:rPr>
            </w:r>
            <w:r>
              <w:rPr>
                <w:b/>
              </w:rPr>
              <w:t>Cookie type</w:t>
            </w:r>
          </w:p>
        </w:tc>
      </w:tr>
      <w:tr>
        <w:tc>
          <w:tcPr>
            <w:tcW w:type="dxa" w:w="3120"/>
          </w:tcPr>
          <w:p>
            <w:r/>
            <w:r>
              <w:t>Payment</w:t>
            </w:r>
          </w:p>
        </w:tc>
        <w:tc>
          <w:tcPr>
            <w:tcW w:type="dxa" w:w="3120"/>
          </w:tcPr>
          <w:p>
            <w:r/>
            <w:r>
              <w:t>Stripe</w:t>
            </w:r>
          </w:p>
        </w:tc>
        <w:tc>
          <w:tcPr>
            <w:tcW w:type="dxa" w:w="3120"/>
          </w:tcPr>
          <w:p>
            <w:r/>
            <w:r>
              <w:t>Necessary</w:t>
            </w:r>
          </w:p>
        </w:tc>
      </w:tr>
      <w:tr>
        <w:tc>
          <w:tcPr>
            <w:tcW w:type="dxa" w:w="3120"/>
          </w:tcPr>
          <w:p>
            <w:r/>
            <w:r>
              <w:t>Session security</w:t>
            </w:r>
          </w:p>
        </w:tc>
        <w:tc>
          <w:tcPr>
            <w:tcW w:type="dxa" w:w="3120"/>
          </w:tcPr>
          <w:p>
            <w:r/>
            <w:r>
              <w:t>Cloudflare</w:t>
            </w:r>
          </w:p>
        </w:tc>
        <w:tc>
          <w:tcPr>
            <w:tcW w:type="dxa" w:w="3120"/>
          </w:tcPr>
          <w:p>
            <w:r/>
            <w:r>
              <w:t>Necessary</w:t>
            </w:r>
          </w:p>
        </w:tc>
      </w:tr>
      <w:tr>
        <w:tc>
          <w:tcPr>
            <w:tcW w:type="dxa" w:w="3120"/>
          </w:tcPr>
          <w:p>
            <w:r/>
            <w:r>
              <w:t>Product analytics</w:t>
            </w:r>
          </w:p>
        </w:tc>
        <w:tc>
          <w:tcPr>
            <w:tcW w:type="dxa" w:w="3120"/>
          </w:tcPr>
          <w:p>
            <w:r/>
            <w:r>
              <w:t>(Self-hosted)</w:t>
            </w:r>
          </w:p>
        </w:tc>
        <w:tc>
          <w:tcPr>
            <w:tcW w:type="dxa" w:w="3120"/>
          </w:tcPr>
          <w:p>
            <w:r/>
            <w:r>
              <w:t>Analytics (opt-in)</w:t>
            </w:r>
          </w:p>
        </w:tc>
      </w:tr>
    </w:tbl>
    <w:p/>
    <w:p>
      <w:pPr>
        <w:pStyle w:val="Heading2"/>
      </w:pPr>
      <w:r>
        <w:t>4. Retention</w:t>
      </w:r>
    </w:p>
    <w:p>
      <w:r>
        <w:t>Session cookies expire when you close the browser. Persistent cookies expire in ≤ 12 months. Consent records: kept for 24 months to prove compliance.</w:t>
      </w:r>
    </w:p>
    <w:p>
      <w:pPr>
        <w:pStyle w:val="Heading2"/>
      </w:pPr>
      <w:r>
        <w:t>5. Contact</w:t>
      </w:r>
    </w:p>
    <w:p>
      <w:r>
        <w:t>privacy@birthright.live.</w:t>
      </w:r>
    </w:p>
    <w:p/>
    <w:p>
      <w:r>
        <w:t>*First draft — pending counsel ratification. Comments to legal@birthright.live.*</w:t>
      </w:r>
    </w:p>
    <w:p/>
    <w:p>
      <w:pPr>
        <w:pStyle w:val="Heading2"/>
      </w:pPr>
      <w:r>
        <w:t>EU / UK Compliance Addendum</w:t>
      </w:r>
    </w:p>
    <w:p>
      <w:r>
        <w:t>Where an EU or UK resident's mandatory local rights conflict with this document, the local rules prevail. Key points:</w:t>
      </w:r>
    </w:p>
    <w:p>
      <w:pPr>
        <w:pStyle w:val="ListBullet"/>
      </w:pPr>
      <w:r>
        <w:rPr>
          <w:b/>
        </w:rPr>
        <w:t>GDPR (EU) 2016/679</w:t>
      </w:r>
      <w:r>
        <w:t xml:space="preserve"> and </w:t>
      </w:r>
      <w:r>
        <w:rPr>
          <w:b/>
        </w:rPr>
        <w:t>UK GDPR</w:t>
      </w:r>
      <w:r>
        <w:t xml:space="preserve"> govern personal-data processing. Lawful bases: contract necessity, legitimate interests (with opt-out), consent (marketing / non-essential cookies), and legal obligation.</w:t>
      </w:r>
    </w:p>
    <w:p>
      <w:pPr>
        <w:pStyle w:val="ListBullet"/>
      </w:pPr>
      <w:r>
        <w:rPr>
          <w:b/>
        </w:rPr>
        <w:t>ePrivacy Directive (2002/58/EC)</w:t>
      </w:r>
      <w:r>
        <w:t xml:space="preserve"> — non-essential cookies require prior opt-in consent (see our Cookie Notice).</w:t>
      </w:r>
    </w:p>
    <w:p>
      <w:pPr>
        <w:pStyle w:val="ListBullet"/>
      </w:pPr>
      <w:r>
        <w:rPr>
          <w:b/>
        </w:rPr>
        <w:t>Consumer Rights Directive (2011/83/EU)</w:t>
      </w:r>
      <w:r>
        <w:t xml:space="preserve"> — 14-day right of withdrawal on distance sales of goods and most digital services. Fully-performed digital content with prior consent may lose that right.</w:t>
      </w:r>
    </w:p>
    <w:p>
      <w:pPr>
        <w:pStyle w:val="ListBullet"/>
      </w:pPr>
      <w:r>
        <w:rPr>
          <w:b/>
        </w:rPr>
        <w:t>Digital Services Act (Reg. 2022/2065)</w:t>
      </w:r>
      <w:r>
        <w:t xml:space="preserve"> — community features (posts, DMs, disputes) fall in scope. Single point of contact: eu-contact@birthright.live.</w:t>
      </w:r>
    </w:p>
    <w:p>
      <w:pPr>
        <w:pStyle w:val="ListBullet"/>
      </w:pPr>
      <w:r>
        <w:rPr>
          <w:b/>
        </w:rPr>
        <w:t>Cross-border transfers</w:t>
      </w:r>
      <w:r>
        <w:t xml:space="preserve"> — EU SCCs (2021/914) + UK IDTA with a transfer-impact assessment per sub-processor.</w:t>
      </w:r>
    </w:p>
    <w:p>
      <w:pPr>
        <w:pStyle w:val="ListBullet"/>
      </w:pPr>
      <w:r>
        <w:rPr>
          <w:b/>
        </w:rPr>
        <w:t>DSAR window</w:t>
      </w:r>
      <w:r>
        <w:t xml:space="preserve"> — 30 days (extendable to 90) at privacy@birthright.live.</w:t>
      </w:r>
    </w:p>
    <w:p>
      <w:pPr>
        <w:pStyle w:val="ListBullet"/>
      </w:pPr>
      <w:r>
        <w:rPr>
          <w:b/>
        </w:rPr>
        <w:t>Supervisory authority</w:t>
      </w:r>
      <w:r>
        <w:t xml:space="preserve"> — EU: your national DPA (</w:t>
      </w:r>
      <w:hyperlink r:id="rId9">
        <w:r>
          <w:rPr>
            <w:color w:val="0563C1"/>
            <w:u w:val="single"/>
          </w:rPr>
          <w:t xml:space="preserve">https://edpb.europa.eu</w:t>
        </w:r>
      </w:hyperlink>
      <w:r>
        <w:t>). UK: ICO (</w:t>
      </w:r>
      <w:hyperlink r:id="rId10">
        <w:r>
          <w:rPr>
            <w:color w:val="0563C1"/>
            <w:u w:val="single"/>
          </w:rPr>
          <w:t xml:space="preserve">https://ico.org.uk</w:t>
        </w:r>
      </w:hyperlink>
      <w:r>
        <w:t>).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before="0" w:after="12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dpb.europa.eu" TargetMode="External"/><Relationship Id="rId10" Type="http://schemas.openxmlformats.org/officeDocument/2006/relationships/hyperlink" Target="https://ico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