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ind w:left="288"/>
      </w:pPr>
      <w:r>
        <w:rPr>
          <w:i/>
          <w:color w:val="7C5316"/>
        </w:rPr>
        <w:t>**FIRST DRAFT — PENDING COUNSEL RATIFICATION**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This document is a first draft prepared for outside counsel review.</w:t>
      </w:r>
    </w:p>
    <w:p>
      <w:pPr>
        <w:ind w:left="288"/>
      </w:pPr>
      <w:r>
        <w:rPr>
          <w:i/>
          <w:color w:val="7C5316"/>
        </w:rPr>
        <w:t>It uses accepted standard language for its type and is intended to</w:t>
      </w:r>
    </w:p>
    <w:p>
      <w:pPr>
        <w:ind w:left="288"/>
      </w:pPr>
      <w:r>
        <w:rPr>
          <w:i/>
          <w:color w:val="7C5316"/>
        </w:rPr>
        <w:t>be published in this form after ratification. Until counsel signs</w:t>
      </w:r>
    </w:p>
    <w:p>
      <w:pPr>
        <w:ind w:left="288"/>
      </w:pPr>
      <w:r>
        <w:rPr>
          <w:i/>
          <w:color w:val="7C5316"/>
        </w:rPr>
        <w:t>off, treat any specific figure, warranty, or jurisdictional choice</w:t>
      </w:r>
    </w:p>
    <w:p>
      <w:pPr>
        <w:ind w:left="288"/>
      </w:pPr>
      <w:r>
        <w:rPr>
          <w:i/>
          <w:color w:val="7C5316"/>
        </w:rPr>
        <w:t>as tentative.</w:t>
      </w:r>
    </w:p>
    <w:p>
      <w:r>
        <w:t>&gt;</w:t>
      </w:r>
    </w:p>
    <w:p>
      <w:pPr>
        <w:ind w:left="288"/>
      </w:pPr>
      <w:r>
        <w:rPr>
          <w:i/>
          <w:color w:val="7C5316"/>
        </w:rPr>
        <w:t>Version: February 2026 · Birthright Foundation (birthright.live) ·</w:t>
      </w:r>
    </w:p>
    <w:p>
      <w:pPr>
        <w:ind w:left="288"/>
      </w:pPr>
      <w:r>
        <w:rPr>
          <w:i/>
          <w:color w:val="7C5316"/>
        </w:rPr>
        <w:t>Executive Director: Amanda Reagan · Contact: legal@birthright.live</w:t>
      </w:r>
    </w:p>
    <w:p>
      <w:pPr>
        <w:pStyle w:val="Heading1"/>
      </w:pPr>
      <w:r>
        <w:t>Privacy Policy</w:t>
      </w:r>
    </w:p>
    <w:p>
      <w:r>
        <w:rPr>
          <w:b/>
        </w:rPr>
        <w:t>Effective date:</w:t>
      </w:r>
      <w:r>
        <w:t xml:space="preserve"> February 2026. This policy explains what personal information Birthright Foundation collects, why, how we protect it, and your choices. Contact: privacy@birthright.live.</w:t>
      </w:r>
    </w:p>
    <w:p>
      <w:pPr>
        <w:pStyle w:val="Heading2"/>
      </w:pPr>
      <w:r>
        <w:t>1. What We Collect</w:t>
      </w:r>
    </w:p>
    <w:p>
      <w:pPr>
        <w:pStyle w:val="ListBullet"/>
      </w:pPr>
      <w:r>
        <w:rPr>
          <w:b/>
        </w:rPr>
        <w:t>From you:</w:t>
      </w:r>
      <w:r>
        <w:t xml:space="preserve"> name, email, phone, shipping/billing address, account password (stored as a bcrypt hash), community posts, dispute messages, files you upload for vendor orders, workshop registrations, and questions you ask our AI Help Assistant.</w:t>
      </w:r>
    </w:p>
    <w:p>
      <w:pPr>
        <w:pStyle w:val="ListBullet"/>
      </w:pPr>
      <w:r>
        <w:rPr>
          <w:b/>
        </w:rPr>
        <w:t>Automatic:</w:t>
      </w:r>
      <w:r>
        <w:t xml:space="preserve"> IP address, device and browser metadata, referring URL, pages viewed. See our [Cookie Notice](/legal/cookie-notice).</w:t>
      </w:r>
    </w:p>
    <w:p>
      <w:pPr>
        <w:pStyle w:val="ListBullet"/>
      </w:pPr>
      <w:r>
        <w:rPr>
          <w:b/>
        </w:rPr>
        <w:t>From third parties:</w:t>
      </w:r>
      <w:r>
        <w:t xml:space="preserve"> Stripe payment metadata (charge id, last-4, status — never the full card number or CVV); Cloudflare routing metadata.</w:t>
      </w:r>
    </w:p>
    <w:p>
      <w:pPr>
        <w:pStyle w:val="ListBullet"/>
      </w:pPr>
      <w:r>
        <w:rPr>
          <w:b/>
        </w:rPr>
        <w:t>Partners:</w:t>
      </w:r>
      <w:r>
        <w:t xml:space="preserve"> if you sign up as a partner, we also collect payout method (encrypted; only type + last-4 kept in plaintext) and, when US thresholds require, W-9 information.</w:t>
      </w:r>
    </w:p>
    <w:p>
      <w:pPr>
        <w:pStyle w:val="Heading2"/>
      </w:pPr>
      <w:r>
        <w:t>2. How We Use It</w:t>
      </w:r>
    </w:p>
    <w:p>
      <w:pPr>
        <w:pStyle w:val="ListBullet"/>
      </w:pPr>
      <w:r>
        <w:t>Operate the Services (accounts, checkout, workshops, community).</w:t>
      </w:r>
    </w:p>
    <w:p>
      <w:pPr>
        <w:pStyle w:val="ListBullet"/>
      </w:pPr>
      <w:r>
        <w:t>Communicate with you (receipts, reminders, dispute replies, newsletter — only with your consent).</w:t>
      </w:r>
    </w:p>
    <w:p>
      <w:pPr>
        <w:pStyle w:val="ListBullet"/>
      </w:pPr>
      <w:r>
        <w:t>Fulfil orders (share address with Printful, Lulu, or the vendor).</w:t>
      </w:r>
    </w:p>
    <w:p>
      <w:pPr>
        <w:pStyle w:val="ListBullet"/>
      </w:pPr>
      <w:r>
        <w:t>Pay partners and reconcile earnings.</w:t>
      </w:r>
    </w:p>
    <w:p>
      <w:pPr>
        <w:pStyle w:val="ListBullet"/>
      </w:pPr>
      <w:r>
        <w:t>Improve the Services (analytics, image-caption search, security).</w:t>
      </w:r>
    </w:p>
    <w:p>
      <w:pPr>
        <w:pStyle w:val="ListBullet"/>
      </w:pPr>
      <w:r>
        <w:t>Comply with law.</w:t>
      </w:r>
    </w:p>
    <w:p>
      <w:pPr>
        <w:pStyle w:val="Heading2"/>
      </w:pPr>
      <w:r>
        <w:t>3. Legal Bases (EU / UK Users)</w:t>
      </w:r>
    </w:p>
    <w:p>
      <w:r>
        <w:t>Contract necessity, legitimate interests (balanced by your opt-out), your consent (marketing and non-essential cookies), and legal obligation.</w:t>
      </w:r>
    </w:p>
    <w:p>
      <w:pPr>
        <w:pStyle w:val="Heading2"/>
      </w:pPr>
      <w:r>
        <w:t>4. Who We Share With</w:t>
      </w:r>
    </w:p>
    <w:p>
      <w:pPr>
        <w:pStyle w:val="ListBullet"/>
      </w:pPr>
      <w:r>
        <w:rPr>
          <w:b/>
        </w:rPr>
        <w:t>Payment:</w:t>
      </w:r>
      <w:r>
        <w:t xml:space="preserve"> Stripe.</w:t>
      </w:r>
    </w:p>
    <w:p>
      <w:pPr>
        <w:pStyle w:val="ListBullet"/>
      </w:pPr>
      <w:r>
        <w:rPr>
          <w:b/>
        </w:rPr>
        <w:t>Fulfilment:</w:t>
      </w:r>
      <w:r>
        <w:t xml:space="preserve"> Printful, Lulu, and the specific vendor of your order.</w:t>
      </w:r>
    </w:p>
    <w:p>
      <w:pPr>
        <w:pStyle w:val="ListBullet"/>
      </w:pPr>
      <w:r>
        <w:rPr>
          <w:b/>
        </w:rPr>
        <w:t>Email:</w:t>
      </w:r>
      <w:r>
        <w:t xml:space="preserve"> Resend.</w:t>
      </w:r>
    </w:p>
    <w:p>
      <w:pPr>
        <w:pStyle w:val="ListBullet"/>
      </w:pPr>
      <w:r>
        <w:rPr>
          <w:b/>
        </w:rPr>
        <w:t>Hosting &amp; security:</w:t>
      </w:r>
      <w:r>
        <w:t xml:space="preserve"> Emergent, Cloudflare, MongoDB Atlas.</w:t>
      </w:r>
    </w:p>
    <w:p>
      <w:pPr>
        <w:pStyle w:val="ListBullet"/>
      </w:pPr>
      <w:r>
        <w:rPr>
          <w:b/>
        </w:rPr>
        <w:t>AI features:</w:t>
      </w:r>
      <w:r>
        <w:t xml:space="preserve"> Anthropic (Claude) and Google (Gemini/Nano Banana). We send only the content needed to answer your request, not your account credentials.</w:t>
      </w:r>
    </w:p>
    <w:p>
      <w:pPr>
        <w:pStyle w:val="ListBullet"/>
      </w:pPr>
      <w:r>
        <w:rPr>
          <w:b/>
        </w:rPr>
        <w:t>Legal &amp; safety:</w:t>
      </w:r>
      <w:r>
        <w:t xml:space="preserve"> when required by law or to protect people.</w:t>
      </w:r>
    </w:p>
    <w:p>
      <w:r>
        <w:t xml:space="preserve">We do </w:t>
      </w:r>
      <w:r>
        <w:rPr>
          <w:b/>
        </w:rPr>
        <w:t>not</w:t>
      </w:r>
      <w:r>
        <w:t xml:space="preserve"> sell your personal information.</w:t>
      </w:r>
    </w:p>
    <w:p>
      <w:pPr>
        <w:pStyle w:val="Heading2"/>
      </w:pPr>
      <w:r>
        <w:t>5. Retention</w:t>
      </w:r>
    </w:p>
    <w:p>
      <w:pPr>
        <w:pStyle w:val="ListBullet"/>
      </w:pPr>
      <w:r>
        <w:t>Account data: while your account is active + 3 years.</w:t>
      </w:r>
    </w:p>
    <w:p>
      <w:pPr>
        <w:pStyle w:val="ListBullet"/>
      </w:pPr>
      <w:r>
        <w:t>Order data: 7 years (tax).</w:t>
      </w:r>
    </w:p>
    <w:p>
      <w:pPr>
        <w:pStyle w:val="ListBullet"/>
      </w:pPr>
      <w:r>
        <w:t>Community posts: until you delete them or your account.</w:t>
      </w:r>
    </w:p>
    <w:p>
      <w:pPr>
        <w:pStyle w:val="ListBullet"/>
      </w:pPr>
      <w:r>
        <w:t>Security-audit logs: 365 days.</w:t>
      </w:r>
    </w:p>
    <w:p>
      <w:pPr>
        <w:pStyle w:val="ListBullet"/>
      </w:pPr>
      <w:r>
        <w:t>Marketing consent records: while your consent is active + 2 years.</w:t>
      </w:r>
    </w:p>
    <w:p>
      <w:pPr>
        <w:pStyle w:val="Heading2"/>
      </w:pPr>
      <w:r>
        <w:t>6. Your Rights</w:t>
      </w:r>
    </w:p>
    <w:p>
      <w:r>
        <w:t>Anywhere: request access, correction, deletion, or export at privacy@birthright.live. We respond within 30 days.</w:t>
      </w:r>
    </w:p>
    <w:p>
      <w:r>
        <w:t xml:space="preserve">EU/UK/CA residents additionally have the right to object to processing, restrict processing, and complain to your local supervisory authority (EU: </w:t>
      </w:r>
      <w:hyperlink r:id="rId9">
        <w:r>
          <w:rPr>
            <w:color w:val="0563C1"/>
            <w:u w:val="single"/>
          </w:rPr>
          <w:t xml:space="preserve">https://edpb.europa.eu</w:t>
        </w:r>
      </w:hyperlink>
      <w:r>
        <w:t xml:space="preserve"> · UK: </w:t>
      </w:r>
      <w:hyperlink r:id="rId10">
        <w:r>
          <w:rPr>
            <w:color w:val="0563C1"/>
            <w:u w:val="single"/>
          </w:rPr>
          <w:t xml:space="preserve">https://ico.org.uk</w:t>
        </w:r>
      </w:hyperlink>
      <w:r>
        <w:t xml:space="preserve"> · California: </w:t>
      </w:r>
      <w:hyperlink r:id="rId11">
        <w:r>
          <w:rPr>
            <w:color w:val="0563C1"/>
            <w:u w:val="single"/>
          </w:rPr>
          <w:t xml:space="preserve">https://oag.ca.gov/privacy</w:t>
        </w:r>
      </w:hyperlink>
      <w:r>
        <w:t>).</w:t>
      </w:r>
    </w:p>
    <w:p>
      <w:r>
        <w:t>California residents: we do not "sell" or "share" personal information under the CCPA; we honour Global Privacy Control signals where technically feasible.</w:t>
      </w:r>
    </w:p>
    <w:p>
      <w:pPr>
        <w:pStyle w:val="Heading2"/>
      </w:pPr>
      <w:r>
        <w:t>7. Security</w:t>
      </w:r>
    </w:p>
    <w:p>
      <w:r>
        <w:t>TLS in transit; encryption at rest for payout data; role-based access; bcrypt hashing for passwords; audit logging of admin actions and security-relevant user events. No system is perfectly secure — we disclose confirmed material breaches without undue delay.</w:t>
      </w:r>
    </w:p>
    <w:p>
      <w:pPr>
        <w:pStyle w:val="Heading2"/>
      </w:pPr>
      <w:r>
        <w:t>8. Children</w:t>
      </w:r>
    </w:p>
    <w:p>
      <w:r>
        <w:t>Not for anyone under 18. If you believe a minor has an account, email privacy@birthright.live and we will remove it.</w:t>
      </w:r>
    </w:p>
    <w:p>
      <w:pPr>
        <w:pStyle w:val="Heading2"/>
      </w:pPr>
      <w:r>
        <w:t>9. Automated Decisions</w:t>
      </w:r>
    </w:p>
    <w:p>
      <w:r>
        <w:t>We do not use automated decision-making that produces legal effects about you. AI features are labelled as such and remain human-in-the-loop.</w:t>
      </w:r>
    </w:p>
    <w:p>
      <w:pPr>
        <w:pStyle w:val="Heading2"/>
      </w:pPr>
      <w:r>
        <w:t>10. Changes</w:t>
      </w:r>
    </w:p>
    <w:p>
      <w:r>
        <w:t>Material changes take effect 30 days after posting; we email account-holders as well.</w:t>
      </w:r>
    </w:p>
    <w:p>
      <w:pPr>
        <w:pStyle w:val="Heading2"/>
      </w:pPr>
      <w:r>
        <w:t>11. Contact</w:t>
      </w:r>
    </w:p>
    <w:p>
      <w:r>
        <w:t>privacy@birthright.live · Mail: 2148 W Farill Dr, Phoenix, AZ 85015. DPO/EU rep contact (once designated): dpo@birthright.live.</w:t>
      </w:r>
    </w:p>
    <w:p/>
    <w:p>
      <w:r>
        <w:t>*First draft — pending counsel ratification. Comments to legal@birthright.live.*</w:t>
      </w:r>
    </w:p>
    <w:p/>
    <w:p>
      <w:pPr>
        <w:pStyle w:val="Heading2"/>
      </w:pPr>
      <w:r>
        <w:t>EU / UK Compliance Addendum</w:t>
      </w:r>
    </w:p>
    <w:p>
      <w:r>
        <w:t>Where an EU or UK resident's mandatory local rights conflict with this document, the local rules prevail. Key points:</w:t>
      </w:r>
    </w:p>
    <w:p>
      <w:pPr>
        <w:pStyle w:val="ListBullet"/>
      </w:pPr>
      <w:r>
        <w:rPr>
          <w:b/>
        </w:rPr>
        <w:t>GDPR (EU) 2016/679</w:t>
      </w:r>
      <w:r>
        <w:t xml:space="preserve"> and </w:t>
      </w:r>
      <w:r>
        <w:rPr>
          <w:b/>
        </w:rPr>
        <w:t>UK GDPR</w:t>
      </w:r>
      <w:r>
        <w:t xml:space="preserve"> govern personal-data processing. Lawful bases: contract necessity, legitimate interests (with opt-out), consent (marketing / non-essential cookies), and legal obligation.</w:t>
      </w:r>
    </w:p>
    <w:p>
      <w:pPr>
        <w:pStyle w:val="ListBullet"/>
      </w:pPr>
      <w:r>
        <w:rPr>
          <w:b/>
        </w:rPr>
        <w:t>ePrivacy Directive (2002/58/EC)</w:t>
      </w:r>
      <w:r>
        <w:t xml:space="preserve"> — non-essential cookies require prior opt-in consent (see our Cookie Notice).</w:t>
      </w:r>
    </w:p>
    <w:p>
      <w:pPr>
        <w:pStyle w:val="ListBullet"/>
      </w:pPr>
      <w:r>
        <w:rPr>
          <w:b/>
        </w:rPr>
        <w:t>Consumer Rights Directive (2011/83/EU)</w:t>
      </w:r>
      <w:r>
        <w:t xml:space="preserve"> — 14-day right of withdrawal on distance sales of goods and most digital services. Fully-performed digital content with prior consent may lose that right.</w:t>
      </w:r>
    </w:p>
    <w:p>
      <w:pPr>
        <w:pStyle w:val="ListBullet"/>
      </w:pPr>
      <w:r>
        <w:rPr>
          <w:b/>
        </w:rPr>
        <w:t>Digital Services Act (Reg. 2022/2065)</w:t>
      </w:r>
      <w:r>
        <w:t xml:space="preserve"> — community features (posts, DMs, disputes) fall in scope. Single point of contact: eu-contact@birthright.live.</w:t>
      </w:r>
    </w:p>
    <w:p>
      <w:pPr>
        <w:pStyle w:val="ListBullet"/>
      </w:pPr>
      <w:r>
        <w:rPr>
          <w:b/>
        </w:rPr>
        <w:t>Cross-border transfers</w:t>
      </w:r>
      <w:r>
        <w:t xml:space="preserve"> — EU SCCs (2021/914) + UK IDTA with a transfer-impact assessment per sub-processor.</w:t>
      </w:r>
    </w:p>
    <w:p>
      <w:pPr>
        <w:pStyle w:val="ListBullet"/>
      </w:pPr>
      <w:r>
        <w:rPr>
          <w:b/>
        </w:rPr>
        <w:t>DSAR window</w:t>
      </w:r>
      <w:r>
        <w:t xml:space="preserve"> — 30 days (extendable to 90) at privacy@birthright.live.</w:t>
      </w:r>
    </w:p>
    <w:p>
      <w:pPr>
        <w:pStyle w:val="ListBullet"/>
      </w:pPr>
      <w:r>
        <w:rPr>
          <w:b/>
        </w:rPr>
        <w:t>Supervisory authority</w:t>
      </w:r>
      <w:r>
        <w:t xml:space="preserve"> — EU: your national DPA (</w:t>
      </w:r>
      <w:hyperlink r:id="rId9">
        <w:r>
          <w:rPr>
            <w:color w:val="0563C1"/>
            <w:u w:val="single"/>
          </w:rPr>
          <w:t xml:space="preserve">https://edpb.europa.eu</w:t>
        </w:r>
      </w:hyperlink>
      <w:r>
        <w:t>). UK: ICO (</w:t>
      </w:r>
      <w:hyperlink r:id="rId10">
        <w:r>
          <w:rPr>
            <w:color w:val="0563C1"/>
            <w:u w:val="single"/>
          </w:rPr>
          <w:t xml:space="preserve">https://ico.org.uk</w:t>
        </w:r>
      </w:hyperlink>
      <w:r>
        <w:t>).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40" w:lineRule="auto" w:before="0" w:after="120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dpb.europa.eu" TargetMode="External"/><Relationship Id="rId10" Type="http://schemas.openxmlformats.org/officeDocument/2006/relationships/hyperlink" Target="https://ico.org.uk" TargetMode="External"/><Relationship Id="rId11" Type="http://schemas.openxmlformats.org/officeDocument/2006/relationships/hyperlink" Target="https://oag.ca.gov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